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47A" w:rsidRPr="00663861" w:rsidRDefault="00DB1F29">
      <w:pPr>
        <w:spacing w:after="20"/>
        <w:ind w:right="51"/>
        <w:jc w:val="right"/>
        <w:rPr>
          <w:lang w:val="uk-UA"/>
        </w:rPr>
      </w:pPr>
      <w:bookmarkStart w:id="0" w:name="_GoBack"/>
      <w:bookmarkEnd w:id="0"/>
      <w:r w:rsidRPr="00663861">
        <w:rPr>
          <w:rFonts w:ascii="Times New Roman" w:eastAsia="Times New Roman" w:hAnsi="Times New Roman" w:cs="Times New Roman"/>
          <w:sz w:val="20"/>
          <w:lang w:val="uk-UA"/>
        </w:rPr>
        <w:t xml:space="preserve">Додаток 2 </w:t>
      </w:r>
    </w:p>
    <w:p w:rsidR="00C5347A" w:rsidRPr="00663861" w:rsidRDefault="00DB1F29">
      <w:pPr>
        <w:spacing w:after="4" w:line="270" w:lineRule="auto"/>
        <w:ind w:left="8056" w:firstLine="197"/>
        <w:rPr>
          <w:lang w:val="uk-UA"/>
        </w:rPr>
      </w:pPr>
      <w:r w:rsidRPr="00663861">
        <w:rPr>
          <w:rFonts w:ascii="Times New Roman" w:eastAsia="Times New Roman" w:hAnsi="Times New Roman" w:cs="Times New Roman"/>
          <w:sz w:val="20"/>
          <w:lang w:val="uk-UA"/>
        </w:rPr>
        <w:t xml:space="preserve">до Договору про постачання електричної енергії споживачу </w:t>
      </w:r>
    </w:p>
    <w:p w:rsidR="00C5347A" w:rsidRPr="00663861" w:rsidRDefault="00DB1F29">
      <w:pPr>
        <w:spacing w:after="165"/>
        <w:jc w:val="right"/>
        <w:rPr>
          <w:lang w:val="uk-UA"/>
        </w:rPr>
      </w:pPr>
      <w:r w:rsidRPr="00663861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</w:p>
    <w:p w:rsidR="00C5347A" w:rsidRPr="00663861" w:rsidRDefault="00DB1F29" w:rsidP="00F014D8">
      <w:pPr>
        <w:spacing w:after="0"/>
        <w:jc w:val="center"/>
        <w:rPr>
          <w:lang w:val="uk-UA"/>
        </w:rPr>
      </w:pPr>
      <w:r w:rsidRPr="00663861">
        <w:rPr>
          <w:rFonts w:ascii="Times New Roman" w:eastAsia="Times New Roman" w:hAnsi="Times New Roman" w:cs="Times New Roman"/>
          <w:b/>
          <w:sz w:val="32"/>
          <w:lang w:val="uk-UA"/>
        </w:rPr>
        <w:t xml:space="preserve">КОМЕРЦІЙНА ПРОПОЗИЦІЯ № 1 </w:t>
      </w:r>
    </w:p>
    <w:p w:rsidR="00663861" w:rsidRDefault="00DB1F29" w:rsidP="00663861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663861">
        <w:rPr>
          <w:rFonts w:ascii="Times New Roman" w:eastAsia="Times New Roman" w:hAnsi="Times New Roman" w:cs="Times New Roman"/>
          <w:b/>
          <w:sz w:val="24"/>
          <w:lang w:val="uk-UA"/>
        </w:rPr>
        <w:t xml:space="preserve">для </w:t>
      </w:r>
      <w:r w:rsidRPr="000D6174">
        <w:rPr>
          <w:rFonts w:ascii="Times New Roman" w:eastAsia="Times New Roman" w:hAnsi="Times New Roman" w:cs="Times New Roman"/>
          <w:b/>
          <w:sz w:val="24"/>
          <w:lang w:val="uk-UA"/>
        </w:rPr>
        <w:t>споживачів</w:t>
      </w:r>
      <w:r w:rsidR="000D6174" w:rsidRPr="000D6174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0D6174" w:rsidRPr="000D6174">
        <w:rPr>
          <w:rFonts w:ascii="Times New Roman" w:eastAsia="Times New Roman" w:hAnsi="Times New Roman" w:cs="Times New Roman"/>
          <w:b/>
          <w:bCs/>
          <w:sz w:val="24"/>
        </w:rPr>
        <w:t>групи “а”</w:t>
      </w:r>
      <w:r w:rsidRPr="000D6174">
        <w:rPr>
          <w:rFonts w:ascii="Times New Roman" w:eastAsia="Times New Roman" w:hAnsi="Times New Roman" w:cs="Times New Roman"/>
          <w:b/>
          <w:sz w:val="24"/>
          <w:lang w:val="uk-UA"/>
        </w:rPr>
        <w:t>,</w:t>
      </w:r>
      <w:r w:rsidRPr="00663861">
        <w:rPr>
          <w:rFonts w:ascii="Times New Roman" w:eastAsia="Times New Roman" w:hAnsi="Times New Roman" w:cs="Times New Roman"/>
          <w:b/>
          <w:sz w:val="24"/>
          <w:lang w:val="uk-UA"/>
        </w:rPr>
        <w:t xml:space="preserve"> які споживають електричну енергію</w:t>
      </w:r>
    </w:p>
    <w:p w:rsidR="00663861" w:rsidRDefault="00DB1F29" w:rsidP="00663861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663861">
        <w:rPr>
          <w:rFonts w:ascii="Times New Roman" w:eastAsia="Times New Roman" w:hAnsi="Times New Roman" w:cs="Times New Roman"/>
          <w:b/>
          <w:sz w:val="24"/>
          <w:lang w:val="uk-UA"/>
        </w:rPr>
        <w:t xml:space="preserve"> для потреб професійної, підприємницької  та іншої діяльності </w:t>
      </w:r>
    </w:p>
    <w:p w:rsidR="00C5347A" w:rsidRPr="00663861" w:rsidRDefault="00C5347A">
      <w:pPr>
        <w:spacing w:after="0"/>
        <w:ind w:left="918"/>
        <w:jc w:val="center"/>
        <w:rPr>
          <w:lang w:val="uk-UA"/>
        </w:rPr>
      </w:pPr>
    </w:p>
    <w:tbl>
      <w:tblPr>
        <w:tblStyle w:val="TableGrid"/>
        <w:tblW w:w="10709" w:type="dxa"/>
        <w:tblInd w:w="-224" w:type="dxa"/>
        <w:tblCellMar>
          <w:top w:w="12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568"/>
        <w:gridCol w:w="2345"/>
        <w:gridCol w:w="7796"/>
      </w:tblGrid>
      <w:tr w:rsidR="00C5347A" w:rsidRPr="00663861" w:rsidTr="000D6174">
        <w:trPr>
          <w:trHeight w:val="514"/>
        </w:trPr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7A" w:rsidRPr="0019449A" w:rsidRDefault="0019449A" w:rsidP="0019449A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Складові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47A" w:rsidRPr="00663861" w:rsidRDefault="000615DC">
            <w:pPr>
              <w:ind w:right="31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 w:rsidRPr="00D84C15">
              <w:rPr>
                <w:rFonts w:ascii="Times New Roman" w:eastAsia="Times New Roman" w:hAnsi="Times New Roman" w:cs="Times New Roman"/>
                <w:b/>
                <w:lang w:val="uk-UA"/>
              </w:rPr>
              <w:t>мови комерційної пропозиції</w:t>
            </w:r>
          </w:p>
        </w:tc>
      </w:tr>
      <w:tr w:rsidR="00C5347A" w:rsidRPr="00663861" w:rsidTr="000D6174">
        <w:trPr>
          <w:trHeight w:val="19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ind w:left="1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1.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Загальні критерії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 w:rsidP="00444208">
            <w:pPr>
              <w:pStyle w:val="a3"/>
              <w:numPr>
                <w:ilvl w:val="1"/>
                <w:numId w:val="2"/>
              </w:numPr>
              <w:spacing w:line="279" w:lineRule="auto"/>
              <w:ind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Підприємство/організація/заклад/особа, яка обирає дану комерційну пропозицію Постачальника, споживає електричну енергію для потреб професійної, підприємницької та іншої діяльності (далі - Споживач); </w:t>
            </w:r>
          </w:p>
          <w:p w:rsidR="00C5347A" w:rsidRPr="00663861" w:rsidRDefault="00DB1F29" w:rsidP="00444208">
            <w:pPr>
              <w:pStyle w:val="a3"/>
              <w:numPr>
                <w:ilvl w:val="1"/>
                <w:numId w:val="2"/>
              </w:numPr>
              <w:tabs>
                <w:tab w:val="center" w:pos="1760"/>
              </w:tabs>
              <w:spacing w:after="19"/>
              <w:ind w:right="245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Споживач є власником/користувачем об'єкта; </w:t>
            </w:r>
          </w:p>
          <w:p w:rsidR="00C5347A" w:rsidRPr="00663861" w:rsidRDefault="00DB1F29" w:rsidP="00444208">
            <w:pPr>
              <w:pStyle w:val="a3"/>
              <w:numPr>
                <w:ilvl w:val="1"/>
                <w:numId w:val="2"/>
              </w:numPr>
              <w:spacing w:after="13" w:line="262" w:lineRule="auto"/>
              <w:ind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 об'єкті/об'єктах Споживача встановлені інтервальні лічильники електричної енергії, які  відповідають вимогам Кодексу комерційного обліку електричної енергії в частині погодинного дистанційного зчитування, обробки, зберігання та передачі Оператору системи погодинних даних приладів комерційного обліку; </w:t>
            </w:r>
          </w:p>
          <w:p w:rsidR="00C5347A" w:rsidRPr="00663861" w:rsidRDefault="00DB1F29" w:rsidP="00444208">
            <w:pPr>
              <w:pStyle w:val="a3"/>
              <w:numPr>
                <w:ilvl w:val="1"/>
                <w:numId w:val="2"/>
              </w:numPr>
              <w:spacing w:after="1" w:line="280" w:lineRule="auto"/>
              <w:ind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Об’єкт(и) Споживача розташований(і) на території(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ях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), вказаній (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их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в даній комерційній пропозиції та є діючий договір про надання послуг з розподілу (передачі) електричної енергії; </w:t>
            </w:r>
          </w:p>
          <w:p w:rsidR="00663861" w:rsidRPr="00663861" w:rsidRDefault="00DB1F29" w:rsidP="00444208">
            <w:pPr>
              <w:pStyle w:val="a3"/>
              <w:numPr>
                <w:ilvl w:val="1"/>
                <w:numId w:val="2"/>
              </w:numPr>
              <w:spacing w:after="2" w:line="280" w:lineRule="auto"/>
              <w:ind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Перехід прав та обов’язків до нового власника/користувача об'єкта(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за договорами, укладеними відповідно до правил роздрібного ринку електричної енергії, не потребує додаткових узгоджень. </w:t>
            </w:r>
          </w:p>
          <w:p w:rsidR="00C5347A" w:rsidRPr="00663861" w:rsidRDefault="00DB1F29" w:rsidP="00444208">
            <w:pPr>
              <w:pStyle w:val="a3"/>
              <w:numPr>
                <w:ilvl w:val="1"/>
                <w:numId w:val="2"/>
              </w:numPr>
              <w:spacing w:after="2" w:line="280" w:lineRule="auto"/>
              <w:ind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об᾿єктом</w:t>
            </w:r>
            <w:proofErr w:type="spellEnd"/>
            <w:r w:rsid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ами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Споживача відсутня прострочена заборгованість перед попереднім Постачальником або Оператором системи.  </w:t>
            </w:r>
          </w:p>
        </w:tc>
      </w:tr>
      <w:tr w:rsidR="00C5347A" w:rsidRPr="00663861" w:rsidTr="000D6174">
        <w:trPr>
          <w:trHeight w:val="30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ind w:left="1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2.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 w:rsidP="0019449A">
            <w:pPr>
              <w:ind w:right="148"/>
              <w:jc w:val="both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Ціна на електричну енергію, </w:t>
            </w:r>
            <w:r w:rsidR="0019449A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у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т.</w:t>
            </w:r>
            <w:r w:rsidR="0019449A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ч. компоненти ціни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 w:rsidP="00444208">
            <w:pPr>
              <w:spacing w:line="279" w:lineRule="auto"/>
              <w:ind w:left="114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Ціна на електричну енергію (</w:t>
            </w:r>
            <w:r w:rsidR="0019449A" w:rsidRPr="001944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грн/кВт*год</w:t>
            </w:r>
            <w:r w:rsidR="0019449A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без ПДВ), з урахуванням компонентів ціни та критеріїв їх застосування для споживача, щомісячно розраховується за формулою: </w:t>
            </w:r>
          </w:p>
          <w:p w:rsidR="00C5347A" w:rsidRPr="00663861" w:rsidRDefault="00DB1F29" w:rsidP="00444208">
            <w:pPr>
              <w:spacing w:after="21"/>
              <w:ind w:left="114" w:right="245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5347A" w:rsidRPr="00663861" w:rsidRDefault="00DB1F29" w:rsidP="00444208">
            <w:pPr>
              <w:ind w:left="114" w:right="245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Ц = 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r w:rsidRPr="0019449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оре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+ 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r w:rsidRPr="0019449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цем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 (</w:t>
            </w:r>
            <w:r w:rsidR="0019449A" w:rsidRPr="0019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грн/кВт*год</w:t>
            </w:r>
            <w:r w:rsidR="0019449A"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без ПДВ) </w:t>
            </w:r>
          </w:p>
          <w:p w:rsidR="00C5347A" w:rsidRPr="00663861" w:rsidRDefault="00DB1F29" w:rsidP="00444208">
            <w:pPr>
              <w:spacing w:after="7"/>
              <w:ind w:left="114" w:right="245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C5347A" w:rsidRPr="00663861" w:rsidRDefault="00DB1F29" w:rsidP="00444208">
            <w:pPr>
              <w:spacing w:after="13"/>
              <w:ind w:left="114" w:right="245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де: </w:t>
            </w:r>
          </w:p>
          <w:p w:rsidR="00C5347A" w:rsidRPr="00663861" w:rsidRDefault="0019449A" w:rsidP="00444208">
            <w:pPr>
              <w:spacing w:after="6" w:line="271" w:lineRule="auto"/>
              <w:ind w:left="114" w:right="24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r w:rsidRPr="0019449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оре</w:t>
            </w:r>
            <w:proofErr w:type="spellEnd"/>
            <w:r w:rsidR="00DB1F29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- ціна закупівлі електричної енергії Постачальником на Оптовому Ринку електричної енергії (далі – ОРЕ) для Споживача, з урахуванням погодинних цін на ОРЕ (з урахуванням інших обов’язкових податків, зборів та платежів, які передбачені діючими законодавством України, Правилами ОРЕ та нормативними документами, та наданих Постачальник</w:t>
            </w:r>
            <w:r w:rsidR="000615D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відповідним Оператором системи</w:t>
            </w:r>
            <w:r w:rsidR="00DB1F29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 та даних графіку споживання ел</w:t>
            </w:r>
            <w:r w:rsidR="000615D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ектричної  енергії по об'єкту(ах</w:t>
            </w:r>
            <w:r w:rsidR="00DB1F29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Споживача за годинами доби протягом періоду проведення розрахунків, який визначається з урахуванням фактичного графіку споживання електричної енергії по об’єкту/ об'єктам Споживача. </w:t>
            </w:r>
          </w:p>
          <w:p w:rsidR="00C5347A" w:rsidRPr="00663861" w:rsidRDefault="000615DC" w:rsidP="00444208">
            <w:pPr>
              <w:spacing w:line="279" w:lineRule="auto"/>
              <w:ind w:left="114" w:right="245"/>
              <w:jc w:val="both"/>
              <w:rPr>
                <w:sz w:val="20"/>
                <w:szCs w:val="20"/>
                <w:lang w:val="uk-UA"/>
              </w:rPr>
            </w:pPr>
            <w:r w:rsidRPr="00D84C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Компонент ціни </w:t>
            </w:r>
            <w:proofErr w:type="spellStart"/>
            <w:r w:rsidRPr="00D84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r w:rsidRPr="0098691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оре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є таким, </w:t>
            </w:r>
            <w:r w:rsidRPr="00D84C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що не залеж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D84C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ть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84C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остачальника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D84C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може бути змінений без додаткового повідомлення Споживача.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B1F29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5347A" w:rsidRPr="00663861" w:rsidRDefault="00DB1F29" w:rsidP="00444208">
            <w:pPr>
              <w:spacing w:after="11"/>
              <w:ind w:left="114" w:right="245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5347A" w:rsidRPr="00663861" w:rsidRDefault="0019449A" w:rsidP="00444208">
            <w:pPr>
              <w:spacing w:line="283" w:lineRule="auto"/>
              <w:ind w:left="114" w:right="24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r w:rsidRPr="0019449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цем</w:t>
            </w:r>
            <w:proofErr w:type="spellEnd"/>
            <w:r w:rsidR="00DB1F29"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DB1F29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 ціна послуг Постачальника, пов’язаних з постачанням електричної енергії Споживачу</w:t>
            </w:r>
            <w:r w:rsidR="00DB1F29"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r w:rsidRPr="0019449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цем</w:t>
            </w:r>
            <w:proofErr w:type="spellEnd"/>
            <w:r w:rsidR="00DB1F29"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=</w:t>
            </w:r>
            <w:r w:rsidR="00DB1F29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B1F29"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DB1F29"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* 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r w:rsidRPr="0019449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оре</w:t>
            </w:r>
            <w:proofErr w:type="spellEnd"/>
            <w:r w:rsidR="00DB1F29"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, (грн/кВт*год без ПДВ). </w:t>
            </w:r>
          </w:p>
          <w:p w:rsidR="00C5347A" w:rsidRDefault="00DB1F29" w:rsidP="00444208">
            <w:pPr>
              <w:ind w:left="114" w:right="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Компонент ціни </w:t>
            </w:r>
            <w:proofErr w:type="spellStart"/>
            <w:r w:rsidR="0019449A"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r w:rsidR="0019449A" w:rsidRPr="0019449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цем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 таким, що встановлюється Постачальником. Про його зміну Споживач повідомляється у спосіб та в терміни, передбачені Договором про постачання електричної енергії споживачу. </w:t>
            </w:r>
          </w:p>
          <w:p w:rsidR="000D6174" w:rsidRDefault="000D6174" w:rsidP="000D6174">
            <w:pPr>
              <w:ind w:left="114" w:right="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6174" w:rsidRPr="001431C9" w:rsidRDefault="000D6174" w:rsidP="000D6174">
            <w:pPr>
              <w:ind w:left="114" w:right="245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0D61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Попередня оплата здійснюється за прогнозованою ціною (тарифом) </w:t>
            </w:r>
            <w:r w:rsidRPr="001431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(грн/кВт*год без ПДВ)</w:t>
            </w:r>
            <w:r w:rsidRPr="000D61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Постачальника, яка визначається за формулою</w:t>
            </w:r>
            <w:r w:rsidRPr="001431C9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: </w:t>
            </w:r>
          </w:p>
          <w:p w:rsidR="000D6174" w:rsidRPr="001431C9" w:rsidRDefault="000D6174" w:rsidP="000D6174">
            <w:pPr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  <w:p w:rsidR="000D6174" w:rsidRPr="001431C9" w:rsidRDefault="000D6174" w:rsidP="000D6174">
            <w:pPr>
              <w:spacing w:line="283" w:lineRule="auto"/>
              <w:ind w:left="114" w:right="24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431C9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Ц</w:t>
            </w:r>
            <w:r w:rsidRPr="001431C9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/>
              </w:rPr>
              <w:t>п</w:t>
            </w:r>
            <w:proofErr w:type="spellEnd"/>
            <w:r w:rsidRPr="001431C9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=1,1*ОРЦ, </w:t>
            </w:r>
          </w:p>
          <w:p w:rsidR="000D6174" w:rsidRPr="001431C9" w:rsidRDefault="000D6174" w:rsidP="000D6174">
            <w:pPr>
              <w:spacing w:line="283" w:lineRule="auto"/>
              <w:ind w:left="114" w:right="245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431C9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де: </w:t>
            </w:r>
          </w:p>
          <w:p w:rsidR="000D6174" w:rsidRPr="00663861" w:rsidRDefault="000D6174" w:rsidP="000D6174">
            <w:pPr>
              <w:ind w:left="114" w:right="245"/>
              <w:jc w:val="both"/>
              <w:rPr>
                <w:sz w:val="20"/>
                <w:szCs w:val="20"/>
                <w:lang w:val="uk-UA"/>
              </w:rPr>
            </w:pPr>
            <w:r w:rsidRPr="001431C9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ОРЦ</w:t>
            </w:r>
            <w:r w:rsidRPr="001431C9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– прогнозована оптова ринкова ціна, затверджена НКРЕКП на відповідний розрахунковий період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(бе</w:t>
            </w:r>
            <w:r w:rsidRPr="001431C9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 ПДВ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)</w:t>
            </w:r>
            <w:r w:rsidRPr="001431C9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C5347A" w:rsidRPr="00663861" w:rsidTr="000D6174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ind w:left="1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lastRenderedPageBreak/>
              <w:t xml:space="preserve">3.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Розрахунковий період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 w:rsidP="00444208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Періодом, за який Постачальником визначається вартість електричної енергії для Споживача, та здійснюються відповідні нарахування, є календарний місяць ( з першого по останній день календарного місяця). </w:t>
            </w:r>
          </w:p>
        </w:tc>
      </w:tr>
      <w:tr w:rsidR="00C5347A" w:rsidRPr="00663861" w:rsidTr="000D6174">
        <w:trPr>
          <w:trHeight w:val="29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ind w:left="1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4.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spacing w:line="249" w:lineRule="auto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Територія, на який пропонується </w:t>
            </w:r>
            <w:r w:rsidR="00444208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дана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комерційна пропозиція </w:t>
            </w:r>
            <w:r w:rsidRPr="0066386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(визначається територією провадження господарської </w:t>
            </w:r>
          </w:p>
          <w:p w:rsidR="00C5347A" w:rsidRPr="00663861" w:rsidRDefault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діяльності з розподілу </w:t>
            </w:r>
          </w:p>
          <w:p w:rsidR="00C5347A" w:rsidRPr="00663861" w:rsidRDefault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lang w:val="uk-UA"/>
              </w:rPr>
              <w:t>(передачі) відповідного(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sz w:val="20"/>
                <w:lang w:val="uk-UA"/>
              </w:rPr>
              <w:t>их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sz w:val="20"/>
                <w:lang w:val="uk-UA"/>
              </w:rPr>
              <w:t>) Оператора(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sz w:val="20"/>
                <w:lang w:val="uk-UA"/>
              </w:rPr>
              <w:t>ів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sz w:val="20"/>
                <w:lang w:val="uk-UA"/>
              </w:rPr>
              <w:t>) системи)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663861" w:rsidP="00444208">
            <w:pPr>
              <w:spacing w:after="1" w:line="278" w:lineRule="auto"/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44420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 w:color="000000"/>
                <w:lang w:val="uk-UA"/>
              </w:rPr>
              <w:t>Територія України</w:t>
            </w:r>
            <w:r w:rsidR="00DB1F29" w:rsidRPr="0066386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uk-UA"/>
              </w:rPr>
              <w:t xml:space="preserve"> </w:t>
            </w:r>
          </w:p>
        </w:tc>
      </w:tr>
      <w:tr w:rsidR="00C5347A" w:rsidRPr="00663861" w:rsidTr="000D6174">
        <w:trPr>
          <w:trHeight w:val="4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ind w:left="1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5.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Спосіб оплати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444208" w:rsidP="00444208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D84C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Оплата електричної енергії у відповідності до умов Договору про постачання електричної енергії виконується Споживачем </w:t>
            </w:r>
            <w:r w:rsidRPr="00D84C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виключно грошовими коштами</w:t>
            </w:r>
            <w:r w:rsidRPr="00D84C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поточний рахунок Постачальника, реквізити якого зазначені в Договорі про постачання електричної енергії споживачу, в рахунках, які надаються Постачальником Споживач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еві</w:t>
            </w:r>
            <w:r w:rsidRPr="00D84C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та на сайті Постачальника.</w:t>
            </w:r>
          </w:p>
        </w:tc>
      </w:tr>
      <w:tr w:rsidR="00C5347A" w:rsidRPr="00663861" w:rsidTr="000D6174">
        <w:trPr>
          <w:trHeight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ind w:left="1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6.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Порядок оплати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 w:rsidP="00444208">
            <w:pPr>
              <w:spacing w:line="280" w:lineRule="auto"/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Оплата електричної енергії здійснюється Споживачем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у формі 100</w:t>
            </w:r>
            <w:r w:rsidR="0019449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 xml:space="preserve">%-ї попередньої оплати (передоплати)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заявленого (планового) обсягу споживання електричної енергії Споживачем не пізніше ніж за 5 робочих днів до дати початку розрахункового періоду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з</w:t>
            </w:r>
            <w:r w:rsidRPr="000A18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подальшим перерахунком (остаточним розрахунком),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що проводиться за фактично відпущену електричну енергію. </w:t>
            </w:r>
          </w:p>
          <w:p w:rsidR="00C5347A" w:rsidRPr="00663861" w:rsidRDefault="00DB1F29" w:rsidP="00444208">
            <w:pPr>
              <w:spacing w:line="267" w:lineRule="auto"/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поперед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ньої оплати визначається як добуток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заявленого (планового) на відповідний розрахунковий період обсягу споживання електричної енергії 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 прогноз</w:t>
            </w:r>
            <w:r w:rsidR="000D61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ова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ної ціни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D61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Постачальника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та підлягає оплаті Споживачем незалежно від отримання рахунку 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 Постачальника. По закінченні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розрахункового періоду Споживачу здійснюється остаточний розрахунок (перерахунок). </w:t>
            </w:r>
            <w:r w:rsidRPr="00BE27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Остаточний розрахунок (перерахунок) </w:t>
            </w:r>
            <w:r w:rsidR="000A1862" w:rsidRPr="00BE27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провадиться</w:t>
            </w:r>
            <w:r w:rsidRPr="00BE27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Постачальником за фактичними погодинними цінами закупівлі електричної енергії на ОРЕ, що склалися у розрахунковому періоді,  відповідно до</w:t>
            </w:r>
            <w:r w:rsidR="000D61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BE27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п.</w:t>
            </w:r>
            <w:r w:rsidR="000A1862" w:rsidRPr="00BE27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E27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даної комерційної пропозиції</w:t>
            </w:r>
            <w:r w:rsidR="000A1862" w:rsidRPr="00BE27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5347A" w:rsidRPr="00663861" w:rsidRDefault="00DB1F29" w:rsidP="000E10A7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Грошові кошти, сплачені Споживачем </w:t>
            </w:r>
            <w:r w:rsidR="000E10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розрахунковому періоді понад обсяги фактично спожитої ним електричної енергії, зараховуються Постачальником 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наступний розрахунковий період. </w:t>
            </w:r>
          </w:p>
        </w:tc>
      </w:tr>
      <w:tr w:rsidR="00C5347A" w:rsidRPr="000D6174" w:rsidTr="000D6174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ind w:left="1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7.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Термін надання рахунку за спожиту електричну енергію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7A" w:rsidRPr="00663861" w:rsidRDefault="00DB1F29" w:rsidP="00444208">
            <w:pPr>
              <w:spacing w:line="280" w:lineRule="auto"/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Перший рахунок на передоплату, відповідно до п. 6 комерційної пропозиції, надається 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поживачу не пізніше ніж на четвертий робочий день після отримання Постачальником від споживача Заяви – приєднання, у разі, якщо споживач відповідає вимогам, встановленим 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="00B13E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п. 3.1.6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останови НКРЕКП від 14.03.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 № 312 та в п.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r w:rsidR="000A18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даної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комерційної пропозиції. </w:t>
            </w:r>
          </w:p>
          <w:p w:rsidR="00C5347A" w:rsidRPr="00663861" w:rsidRDefault="00C5347A" w:rsidP="00444208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63861" w:rsidRPr="000D6174" w:rsidTr="000D6174">
        <w:trPr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1" w:rsidRPr="00663861" w:rsidRDefault="00663861" w:rsidP="00663861">
            <w:pPr>
              <w:ind w:left="2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8.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1" w:rsidRPr="00663861" w:rsidRDefault="00663861" w:rsidP="00663861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Т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ермін оплати рахунку за спожиту електричну енергію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1" w:rsidRPr="00663861" w:rsidRDefault="00B13E56" w:rsidP="00444208">
            <w:pPr>
              <w:spacing w:line="280" w:lineRule="auto"/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Рахунок за спожиту електричну енергію (остаточний рахунок)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інші документи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езультатами розрахунків та рахунок на </w:t>
            </w:r>
            <w:r w:rsidR="00663861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попередню оплату на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ступний розрахунковий період </w:t>
            </w:r>
            <w:r w:rsidR="00663861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надаються Постачальником Споживачу не пізніше десятого робочого дня з дати завершення розрахункового періоду.  </w:t>
            </w:r>
          </w:p>
          <w:p w:rsidR="00663861" w:rsidRPr="00663861" w:rsidRDefault="00663861" w:rsidP="00444208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Оплата цих рахунків має бути здійснена Споживачем у строки, вказані в рахунках, але не пізніше ніж через 5-ти робочих днів від</w:t>
            </w:r>
            <w:r w:rsidR="00B13E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дати їх отримання Споживачем, або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15</w:t>
            </w:r>
            <w:r w:rsidR="00B13E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-го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календарного дня після закінчення розрахункового періоду. </w:t>
            </w:r>
          </w:p>
        </w:tc>
      </w:tr>
      <w:tr w:rsidR="00663861" w:rsidRPr="000D6174" w:rsidTr="000D6174">
        <w:trPr>
          <w:trHeight w:val="1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1" w:rsidRPr="00663861" w:rsidRDefault="00663861" w:rsidP="00663861">
            <w:pPr>
              <w:ind w:left="2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9.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1" w:rsidRPr="00663861" w:rsidRDefault="00B13E56" w:rsidP="00663861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Оплата</w:t>
            </w:r>
            <w:r w:rsidR="00663861"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послуг </w:t>
            </w:r>
          </w:p>
          <w:p w:rsidR="00663861" w:rsidRPr="00663861" w:rsidRDefault="00663861" w:rsidP="00663861">
            <w:pPr>
              <w:ind w:right="24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з розподілу (передачі) електричної енергії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1" w:rsidRPr="00663861" w:rsidRDefault="00663861" w:rsidP="00444208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Акцептуванням даної комерційної пропозиції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Споживач залишає за собою право самостійно здійснювати оплату вартості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послуг з розподілу/передачі електричної енергії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13E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відповідно до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умов договору на передачу/розподіл електричної енергії, укладеного між </w:t>
            </w:r>
            <w:r w:rsidR="00B13E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Споживачем</w:t>
            </w:r>
            <w:r w:rsidR="00B13E56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  відповідним Оператором системи (див. п.</w:t>
            </w:r>
            <w:r w:rsidR="00B13E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r w:rsidR="00B13E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даної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комерційної пропозиції). </w:t>
            </w:r>
          </w:p>
        </w:tc>
      </w:tr>
      <w:tr w:rsidR="00663861" w:rsidRPr="00663861" w:rsidTr="000D6174">
        <w:trPr>
          <w:trHeight w:val="9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1" w:rsidRPr="00663861" w:rsidRDefault="00663861" w:rsidP="00663861">
            <w:pPr>
              <w:ind w:left="2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10.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1" w:rsidRPr="00663861" w:rsidRDefault="00B13E56" w:rsidP="00B13E5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Пеня</w:t>
            </w:r>
            <w:r w:rsidR="00663861"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за порушення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терміну</w:t>
            </w:r>
            <w:r w:rsidR="00663861"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оплати та/або штраф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ні санкції</w:t>
            </w:r>
            <w:r w:rsidR="00663861"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1" w:rsidRPr="00663861" w:rsidRDefault="00DB1F29" w:rsidP="00444208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663861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разі недотримання Споживачем умов цього Договору</w:t>
            </w:r>
            <w:r w:rsidR="000265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265F4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 постачання електричної енергії споживачу</w:t>
            </w:r>
            <w:r w:rsidR="00663861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 частині оплати з </w:t>
            </w:r>
            <w:r w:rsidR="00B13E56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дня</w:t>
            </w:r>
            <w:r w:rsidR="00B13E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13E56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63861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наступного після закінчення терміну сплати  рахунків</w:t>
            </w:r>
            <w:r w:rsidR="00B13E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663861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Споживачу нараховується пеня </w:t>
            </w:r>
            <w:r w:rsidR="00663861"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у розмірі подвійної облікової ставки НБУ</w:t>
            </w:r>
            <w:r w:rsidR="00663861"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яка діє на день прострочення, за кожен день прострочення, без обмеження періоду її нарахування, до дати повної оплати. </w:t>
            </w:r>
          </w:p>
        </w:tc>
      </w:tr>
      <w:tr w:rsidR="00DB1F29" w:rsidRPr="00663861" w:rsidTr="000D6174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lastRenderedPageBreak/>
              <w:t xml:space="preserve">11.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Компенсація С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поживачу за недотримання П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остачальником комерційної якості послуг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Надається Постачальником Споживачу в порядку, затвердженому Регулятором та у відповідності до умов Договору про постачання електричної енергії споживачу. </w:t>
            </w:r>
          </w:p>
        </w:tc>
      </w:tr>
      <w:tr w:rsidR="00DB1F29" w:rsidRPr="00663861" w:rsidTr="000D6174">
        <w:trPr>
          <w:trHeight w:val="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12.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right="26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Штраф за дострокове припинення дії договору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Штраф за дострокове припинення Договору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 постачання електричної енергії споживачу, за ініціативою Споживача, здійснене з порушенням строків повідомлення Постачальника, передбачених Договором,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складає  подвійну вартість електричної енергії, заявлену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за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 xml:space="preserve">купівлі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у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 xml:space="preserve"> місяці, в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якому Постачальником було отримано повідомлення про необхідність дострокового припинення (розірвання) Договору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 </w:t>
            </w:r>
          </w:p>
        </w:tc>
      </w:tr>
      <w:tr w:rsidR="00DB1F29" w:rsidRPr="00663861" w:rsidTr="000D6174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13.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В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рахування пільг/субсидій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 w:right="245"/>
              <w:rPr>
                <w:sz w:val="20"/>
                <w:szCs w:val="20"/>
                <w:lang w:val="uk-UA"/>
              </w:rPr>
            </w:pPr>
            <w:r w:rsidRPr="000265F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  <w:t>Не передбачене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DB1F29" w:rsidRPr="00663861" w:rsidTr="000D6174">
        <w:trPr>
          <w:trHeight w:val="9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14.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Постачання електричної енергії захищеним споживачам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0265F4" w:rsidRDefault="00DB1F29" w:rsidP="00DB1F29">
            <w:pPr>
              <w:ind w:left="2" w:right="245"/>
              <w:rPr>
                <w:sz w:val="20"/>
                <w:szCs w:val="20"/>
                <w:highlight w:val="yellow"/>
                <w:lang w:val="uk-UA"/>
              </w:rPr>
            </w:pPr>
            <w:r w:rsidRPr="000265F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  <w:t xml:space="preserve">Не передбачене </w:t>
            </w:r>
          </w:p>
        </w:tc>
      </w:tr>
      <w:tr w:rsidR="00DB1F29" w:rsidRPr="00663861" w:rsidTr="000D6174">
        <w:trPr>
          <w:trHeight w:val="1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/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15.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Термін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дії договору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Договір укладається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на строк 1 (один) рік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набирає чинності з моменту погодження (акцептування) Споживачем заяви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приєднання, яка є додатком 1 до Договору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 постачання електричної енергії споживачу та оплати першого рахунку на передоплату, визначеного в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даної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комерційної пропозиції. Договір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 постачання електричної енергії споживачу та умови відповідної комерційної пропозиції до нього, акцептовані Споживачем, вважаються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автоматично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  <w:lang w:val="uk-UA"/>
              </w:rPr>
              <w:t>подовженими на наступний аналогічний період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якщо жодна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 Сторін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міни та в порядку, передбачені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умовами цього Договору, не повідомить іншу Сторону Договору про намір 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внести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зміни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 умов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Договору/комерційної пропозиції або припинити (розірвати) Договір. Умови та терміни укладання Договору, набрання ним 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нності, припинення (розірвання)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ч. дострокового, викладені у відповідному розділі Договору. </w:t>
            </w:r>
          </w:p>
        </w:tc>
      </w:tr>
      <w:tr w:rsidR="00DB1F29" w:rsidRPr="00663861" w:rsidTr="000D6174">
        <w:trPr>
          <w:trHeight w:val="16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16.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663861" w:rsidRDefault="00DB1F29" w:rsidP="00DB1F29">
            <w:pPr>
              <w:rPr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Інші умови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0265F4" w:rsidRDefault="00DB1F29" w:rsidP="00DB1F29">
            <w:pPr>
              <w:pStyle w:val="a3"/>
              <w:numPr>
                <w:ilvl w:val="0"/>
                <w:numId w:val="2"/>
              </w:numPr>
              <w:spacing w:line="279" w:lineRule="auto"/>
              <w:ind w:right="245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uk-UA"/>
              </w:rPr>
            </w:pPr>
          </w:p>
          <w:p w:rsidR="00DB1F29" w:rsidRPr="00663861" w:rsidRDefault="00DB1F29" w:rsidP="00DB1F29">
            <w:pPr>
              <w:pStyle w:val="a3"/>
              <w:numPr>
                <w:ilvl w:val="1"/>
                <w:numId w:val="2"/>
              </w:numPr>
              <w:spacing w:line="279" w:lineRule="auto"/>
              <w:ind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Споживач зобов'язується у місячний строк повідомити Постачальника про зміну будь-якої інформації та даних, зазначених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заяві-приєднанні, яка є Додатком 1 до Договору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 постачання електричної енергії споживачу. </w:t>
            </w:r>
          </w:p>
          <w:p w:rsidR="00DB1F29" w:rsidRPr="00663861" w:rsidRDefault="00DB1F29" w:rsidP="00DB1F29">
            <w:pPr>
              <w:pStyle w:val="a3"/>
              <w:numPr>
                <w:ilvl w:val="1"/>
                <w:numId w:val="2"/>
              </w:numPr>
              <w:spacing w:line="279" w:lineRule="auto"/>
              <w:ind w:right="245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випадку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зміни принципів купівлі Постачальником електричної енергії на ОРЕ 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відповідно, принципів формування ціни </w:t>
            </w:r>
            <w:proofErr w:type="spellStart"/>
            <w:r w:rsidRPr="00663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r w:rsidRPr="000265F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uk-UA"/>
              </w:rPr>
              <w:t>оре</w:t>
            </w:r>
            <w:proofErr w:type="spellEnd"/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у відповідності до вимог Закону України «Про ринок електричної енергії», порядок формування ціни електричної енергії для Споживача, встановлений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комерційної пропозиції, буде змінений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прийняття таких змін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Про зазначені зміни Споживач повідомляється Постачальником у спосіб, передбачений Договором про постачання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електричної енергії с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поживачу. </w:t>
            </w:r>
          </w:p>
          <w:p w:rsidR="00DB1F29" w:rsidRPr="00663861" w:rsidRDefault="00DB1F29" w:rsidP="00DB1F29">
            <w:pPr>
              <w:pStyle w:val="a3"/>
              <w:numPr>
                <w:ilvl w:val="1"/>
                <w:numId w:val="2"/>
              </w:numPr>
              <w:spacing w:line="279" w:lineRule="auto"/>
              <w:ind w:right="245"/>
              <w:jc w:val="both"/>
              <w:rPr>
                <w:sz w:val="20"/>
                <w:szCs w:val="20"/>
                <w:lang w:val="uk-UA"/>
              </w:rPr>
            </w:pP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разі пред’явлення Постачальнику Оператором системи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розподілу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 оплати вартості інших послуг, які забезпечують процес постачання електричної енергії Споживачу, Споживач зобов’язується компенсувати Постачальнику їх вартість в повному обсязі.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цьому випадку вар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тість таких послуг додається до</w:t>
            </w:r>
            <w:r w:rsidRPr="00663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вартості електричної енергії Споживача за остаточним розрахунком та підлягає оплаті Споживачем Постачальнику в терміни, зазначені в остаточному рахунку за розрахунковий період. </w:t>
            </w:r>
          </w:p>
        </w:tc>
      </w:tr>
    </w:tbl>
    <w:p w:rsidR="00C5347A" w:rsidRPr="00663861" w:rsidRDefault="00DB1F29">
      <w:pPr>
        <w:spacing w:after="28"/>
        <w:ind w:left="910"/>
        <w:rPr>
          <w:lang w:val="uk-UA"/>
        </w:rPr>
      </w:pPr>
      <w:r w:rsidRPr="00663861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</w:p>
    <w:p w:rsidR="00C5347A" w:rsidRPr="00663861" w:rsidRDefault="00DB1F29">
      <w:pPr>
        <w:spacing w:after="0"/>
        <w:ind w:left="905" w:hanging="10"/>
        <w:rPr>
          <w:lang w:val="uk-UA"/>
        </w:rPr>
      </w:pPr>
      <w:r w:rsidRPr="00663861">
        <w:rPr>
          <w:rFonts w:ascii="Times New Roman" w:eastAsia="Times New Roman" w:hAnsi="Times New Roman" w:cs="Times New Roman"/>
          <w:b/>
          <w:sz w:val="20"/>
          <w:lang w:val="uk-UA"/>
        </w:rPr>
        <w:t xml:space="preserve">Реквізити Споживача: </w:t>
      </w:r>
    </w:p>
    <w:p w:rsidR="00C5347A" w:rsidRPr="00663861" w:rsidRDefault="00DB1F29">
      <w:pPr>
        <w:spacing w:after="0"/>
        <w:ind w:left="910"/>
        <w:rPr>
          <w:lang w:val="uk-UA"/>
        </w:rPr>
      </w:pPr>
      <w:r w:rsidRPr="00663861">
        <w:rPr>
          <w:rFonts w:ascii="Times New Roman" w:eastAsia="Times New Roman" w:hAnsi="Times New Roman" w:cs="Times New Roman"/>
          <w:b/>
          <w:sz w:val="20"/>
          <w:lang w:val="uk-UA"/>
        </w:rPr>
        <w:t xml:space="preserve">  </w:t>
      </w:r>
    </w:p>
    <w:p w:rsidR="00C5347A" w:rsidRPr="00663861" w:rsidRDefault="00DB1F29">
      <w:pPr>
        <w:spacing w:after="3"/>
        <w:ind w:left="881"/>
        <w:rPr>
          <w:lang w:val="uk-UA"/>
        </w:rPr>
      </w:pPr>
      <w:r w:rsidRPr="00663861">
        <w:rPr>
          <w:noProof/>
        </w:rPr>
        <mc:AlternateContent>
          <mc:Choice Requires="wpg">
            <w:drawing>
              <wp:inline distT="0" distB="0" distL="0" distR="0">
                <wp:extent cx="6248147" cy="18287"/>
                <wp:effectExtent l="0" t="0" r="0" b="0"/>
                <wp:docPr id="7381" name="Group 7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7" cy="18287"/>
                          <a:chOff x="0" y="0"/>
                          <a:chExt cx="6248147" cy="18287"/>
                        </a:xfrm>
                      </wpg:grpSpPr>
                      <wps:wsp>
                        <wps:cNvPr id="7982" name="Shape 7982"/>
                        <wps:cNvSpPr/>
                        <wps:spPr>
                          <a:xfrm>
                            <a:off x="0" y="0"/>
                            <a:ext cx="624814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7" h="18287">
                                <a:moveTo>
                                  <a:pt x="0" y="0"/>
                                </a:moveTo>
                                <a:lnTo>
                                  <a:pt x="6248147" y="0"/>
                                </a:lnTo>
                                <a:lnTo>
                                  <a:pt x="6248147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1" style="width:491.98pt;height:1.43994pt;mso-position-horizontal-relative:char;mso-position-vertical-relative:line" coordsize="62481,182">
                <v:shape id="Shape 7983" style="position:absolute;width:62481;height:182;left:0;top:0;" coordsize="6248147,18287" path="m0,0l6248147,0l6248147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347A" w:rsidRPr="00663861" w:rsidRDefault="00DB1F29" w:rsidP="00F014D8">
      <w:pPr>
        <w:spacing w:after="0"/>
        <w:ind w:left="910"/>
        <w:rPr>
          <w:lang w:val="uk-UA"/>
        </w:rPr>
      </w:pPr>
      <w:r w:rsidRPr="00663861">
        <w:rPr>
          <w:rFonts w:ascii="Times New Roman" w:eastAsia="Times New Roman" w:hAnsi="Times New Roman" w:cs="Times New Roman"/>
          <w:sz w:val="20"/>
          <w:lang w:val="uk-UA"/>
        </w:rPr>
        <w:t xml:space="preserve">  </w:t>
      </w:r>
    </w:p>
    <w:p w:rsidR="00C5347A" w:rsidRDefault="00DB1F29">
      <w:pPr>
        <w:spacing w:after="0"/>
        <w:ind w:left="905" w:hanging="10"/>
        <w:rPr>
          <w:rFonts w:ascii="Times New Roman" w:eastAsia="Times New Roman" w:hAnsi="Times New Roman" w:cs="Times New Roman"/>
          <w:b/>
          <w:sz w:val="20"/>
          <w:lang w:val="uk-UA"/>
        </w:rPr>
      </w:pPr>
      <w:r w:rsidRPr="00663861">
        <w:rPr>
          <w:rFonts w:ascii="Times New Roman" w:eastAsia="Times New Roman" w:hAnsi="Times New Roman" w:cs="Times New Roman"/>
          <w:b/>
          <w:sz w:val="20"/>
          <w:lang w:val="uk-UA"/>
        </w:rPr>
        <w:t xml:space="preserve">Відмітка про підписання Споживачем комерційної пропозиції: </w:t>
      </w:r>
    </w:p>
    <w:p w:rsidR="00F014D8" w:rsidRDefault="00F014D8">
      <w:pPr>
        <w:spacing w:after="0"/>
        <w:ind w:left="905" w:hanging="10"/>
        <w:rPr>
          <w:rFonts w:ascii="Times New Roman" w:eastAsia="Times New Roman" w:hAnsi="Times New Roman" w:cs="Times New Roman"/>
          <w:b/>
          <w:sz w:val="20"/>
          <w:lang w:val="uk-UA"/>
        </w:rPr>
      </w:pPr>
    </w:p>
    <w:p w:rsidR="00C5347A" w:rsidRPr="00663861" w:rsidRDefault="00DB1F29">
      <w:pPr>
        <w:spacing w:after="4" w:line="270" w:lineRule="auto"/>
        <w:ind w:left="905" w:hanging="10"/>
        <w:rPr>
          <w:lang w:val="uk-UA"/>
        </w:rPr>
      </w:pPr>
      <w:r w:rsidRPr="00663861">
        <w:rPr>
          <w:rFonts w:ascii="Times New Roman" w:eastAsia="Times New Roman" w:hAnsi="Times New Roman" w:cs="Times New Roman"/>
          <w:sz w:val="20"/>
          <w:lang w:val="uk-UA"/>
        </w:rPr>
        <w:t xml:space="preserve">___________________                                        ___________________                      _________________________ </w:t>
      </w:r>
    </w:p>
    <w:p w:rsidR="00C5347A" w:rsidRPr="00663861" w:rsidRDefault="00DB1F29" w:rsidP="00F014D8">
      <w:pPr>
        <w:spacing w:after="34" w:line="238" w:lineRule="auto"/>
        <w:ind w:left="910" w:right="251"/>
        <w:rPr>
          <w:lang w:val="uk-UA"/>
        </w:rPr>
      </w:pPr>
      <w:r w:rsidRPr="00663861">
        <w:rPr>
          <w:rFonts w:ascii="Times New Roman" w:eastAsia="Times New Roman" w:hAnsi="Times New Roman" w:cs="Times New Roman"/>
          <w:sz w:val="16"/>
          <w:lang w:val="uk-UA"/>
        </w:rPr>
        <w:t xml:space="preserve">             (дата подання )                                                                  (підпис)                                          </w:t>
      </w:r>
      <w:r w:rsidR="00663861">
        <w:rPr>
          <w:rFonts w:ascii="Times New Roman" w:eastAsia="Times New Roman" w:hAnsi="Times New Roman" w:cs="Times New Roman"/>
          <w:sz w:val="16"/>
          <w:lang w:val="uk-UA"/>
        </w:rPr>
        <w:t xml:space="preserve">            </w:t>
      </w:r>
      <w:r w:rsidRPr="00663861">
        <w:rPr>
          <w:rFonts w:ascii="Times New Roman" w:eastAsia="Times New Roman" w:hAnsi="Times New Roman" w:cs="Times New Roman"/>
          <w:sz w:val="16"/>
          <w:lang w:val="uk-UA"/>
        </w:rPr>
        <w:t xml:space="preserve">  (Назва, ПІБ Споживача)  </w:t>
      </w:r>
    </w:p>
    <w:sectPr w:rsidR="00C5347A" w:rsidRPr="00663861" w:rsidSect="000D6174">
      <w:pgSz w:w="11906" w:h="16838"/>
      <w:pgMar w:top="851" w:right="373" w:bottom="709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943"/>
    <w:multiLevelType w:val="multilevel"/>
    <w:tmpl w:val="E21613F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86" w:hanging="45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58405403"/>
    <w:multiLevelType w:val="hybridMultilevel"/>
    <w:tmpl w:val="902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7A"/>
    <w:rsid w:val="000265F4"/>
    <w:rsid w:val="000615DC"/>
    <w:rsid w:val="000A1862"/>
    <w:rsid w:val="000D6174"/>
    <w:rsid w:val="000E10A7"/>
    <w:rsid w:val="001829F3"/>
    <w:rsid w:val="0019449A"/>
    <w:rsid w:val="002A51F1"/>
    <w:rsid w:val="00444208"/>
    <w:rsid w:val="00663861"/>
    <w:rsid w:val="008107BD"/>
    <w:rsid w:val="00B13E56"/>
    <w:rsid w:val="00BE27D1"/>
    <w:rsid w:val="00C5347A"/>
    <w:rsid w:val="00DB1F29"/>
    <w:rsid w:val="00F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0918-D4F4-4D25-9189-FF065FFB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63861"/>
    <w:pPr>
      <w:ind w:left="720"/>
      <w:contextualSpacing/>
    </w:pPr>
  </w:style>
  <w:style w:type="character" w:styleId="a4">
    <w:name w:val="Strong"/>
    <w:basedOn w:val="a0"/>
    <w:uiPriority w:val="22"/>
    <w:qFormat/>
    <w:rsid w:val="000D6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Андрей_пользователь</dc:creator>
  <cp:keywords/>
  <cp:lastModifiedBy>Іванець Олена Вікторівна</cp:lastModifiedBy>
  <cp:revision>2</cp:revision>
  <dcterms:created xsi:type="dcterms:W3CDTF">2019-04-22T09:02:00Z</dcterms:created>
  <dcterms:modified xsi:type="dcterms:W3CDTF">2019-04-22T09:02:00Z</dcterms:modified>
</cp:coreProperties>
</file>